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01" w:rsidRDefault="009900B7">
      <w:pPr>
        <w:jc w:val="center"/>
      </w:pPr>
      <w:r>
        <w:rPr>
          <w:b/>
          <w:bCs/>
        </w:rPr>
        <w:t>Льготы при оплате коммунальных услуг по ТКО</w:t>
      </w:r>
    </w:p>
    <w:p w:rsidR="00E21C01" w:rsidRDefault="00E21C01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1C01" w:rsidRDefault="009900B7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После перехода на новую систему обращения с ТКО жители городов и поселков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Югры  увидят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квитанциях ЖКХ новую строку «обращение с ТКО». </w:t>
      </w:r>
    </w:p>
    <w:p w:rsidR="00E21C01" w:rsidRDefault="009900B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Ра</w:t>
      </w:r>
      <w:r>
        <w:rPr>
          <w:rFonts w:ascii="Times New Roman" w:eastAsia="Times New Roman" w:hAnsi="Times New Roman" w:cs="Times New Roman"/>
          <w:lang w:eastAsia="ru-RU"/>
        </w:rPr>
        <w:t xml:space="preserve">ньше услуга по обращению с отходами считалась жилищной, оплата </w:t>
      </w:r>
      <w:r>
        <w:rPr>
          <w:rFonts w:ascii="Times New Roman" w:eastAsia="Times New Roman" w:hAnsi="Times New Roman" w:cs="Times New Roman"/>
          <w:lang w:eastAsia="ru-RU"/>
        </w:rPr>
        <w:t>формировалась, исходя из расчёта на квадратный метр. Теперь услуга стала коммунальной – сумма в квитанции рассчитывается на количество проживающих. И, к примеру, для многодетных семей плата увеличилась.</w:t>
      </w:r>
    </w:p>
    <w:p w:rsidR="00E21C01" w:rsidRDefault="009900B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Югре законодательно предусмотрены субсидии и компе</w:t>
      </w:r>
      <w:r>
        <w:rPr>
          <w:rFonts w:ascii="Times New Roman" w:eastAsia="Times New Roman" w:hAnsi="Times New Roman" w:cs="Times New Roman"/>
          <w:lang w:eastAsia="ru-RU"/>
        </w:rPr>
        <w:t>нсации расходов на коммунальные услуги для различных категорий граждан.</w:t>
      </w:r>
    </w:p>
    <w:p w:rsidR="00E21C01" w:rsidRDefault="009900B7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Между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АО«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-Экология» и Центром социальных выплат Югры достигнуты договоренности о взаимодействии в работе и порядке предоставления компенсации на оплату услуги по обращению с тверд</w:t>
      </w:r>
      <w:r>
        <w:rPr>
          <w:rFonts w:ascii="Times New Roman" w:eastAsia="Times New Roman" w:hAnsi="Times New Roman" w:cs="Times New Roman"/>
          <w:lang w:eastAsia="ru-RU"/>
        </w:rPr>
        <w:t>ыми коммунальными отходами.</w:t>
      </w:r>
    </w:p>
    <w:p w:rsidR="00E21C01" w:rsidRDefault="009900B7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>Право на компенсацию расходов имеют следующие категории: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инвалиды и участники Великой Отечественной войны 1941-1945 гг.;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труженики тыла;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лица, награжденные знаком «Жителю блокадного Ленинграда», ставшие инвалидами;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бывшие узник</w:t>
      </w:r>
      <w:r>
        <w:rPr>
          <w:rFonts w:ascii="Times New Roman" w:eastAsia="Times New Roman" w:hAnsi="Times New Roman" w:cs="Times New Roman"/>
          <w:bCs/>
          <w:lang w:eastAsia="ru-RU"/>
        </w:rPr>
        <w:t>и фашистских концлагерей;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члены семей погибших (умерших) инвалидов (участников) Великой Отечественной войны 1941- 45 гг. и ветеранов боевых действий; 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граждане, пострадавшие от воздействия радиации;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инвалиды 1,2,3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групп  и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дети-инвалиды в возрасте до 18 ле</w:t>
      </w:r>
      <w:r>
        <w:rPr>
          <w:rFonts w:ascii="Times New Roman" w:eastAsia="Times New Roman" w:hAnsi="Times New Roman" w:cs="Times New Roman"/>
          <w:bCs/>
          <w:lang w:eastAsia="ru-RU"/>
        </w:rPr>
        <w:t>т;</w:t>
      </w:r>
    </w:p>
    <w:p w:rsidR="00E21C01" w:rsidRDefault="00990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реабилитированные лица и лица, пострадавшие от политических репрессий;</w:t>
      </w:r>
    </w:p>
    <w:p w:rsidR="00E21C01" w:rsidRDefault="009900B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ветераны труда и лица, приравненные к ним по состоянию на 31.12.2004;</w:t>
      </w:r>
    </w:p>
    <w:p w:rsidR="00E21C01" w:rsidRDefault="009900B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ветераны труда Ханты-Мансийского автономного округа – Югры;</w:t>
      </w:r>
    </w:p>
    <w:p w:rsidR="00E21C01" w:rsidRDefault="009900B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многодетные семьи;</w:t>
      </w:r>
    </w:p>
    <w:p w:rsidR="00E21C01" w:rsidRDefault="009900B7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lang w:eastAsia="ru-RU"/>
        </w:rPr>
        <w:t>граждане, проживающие и работающи</w:t>
      </w:r>
      <w:r>
        <w:rPr>
          <w:rFonts w:ascii="Times New Roman" w:eastAsia="Times New Roman" w:hAnsi="Times New Roman" w:cs="Times New Roman"/>
          <w:lang w:eastAsia="ru-RU"/>
        </w:rPr>
        <w:t>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спорта.</w:t>
      </w:r>
    </w:p>
    <w:p w:rsidR="00E21C01" w:rsidRDefault="009900B7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Размер компенсации, в зависимости от категории, может составлять от </w:t>
      </w:r>
      <w:r>
        <w:rPr>
          <w:rFonts w:ascii="Times New Roman" w:eastAsia="Times New Roman" w:hAnsi="Times New Roman" w:cs="Times New Roman"/>
          <w:lang w:eastAsia="ru-RU"/>
        </w:rPr>
        <w:t>50 до 100%. Так, для многодетной семьи из 5 человек затраты на оплату услуги по обращению с ТКО компенсируют полностью.</w:t>
      </w:r>
    </w:p>
    <w:p w:rsidR="00E21C01" w:rsidRDefault="009900B7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Для жителей округа, ранее получавших компенсации «за коммуналку» никаких дополнительных заявлений писать не нужно.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 Центре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социальны</w:t>
      </w:r>
      <w:r>
        <w:rPr>
          <w:rFonts w:ascii="Times New Roman" w:eastAsia="Times New Roman" w:hAnsi="Times New Roman" w:cs="Times New Roman"/>
          <w:lang w:eastAsia="ru-RU"/>
        </w:rPr>
        <w:t xml:space="preserve">х выплат Югры уже есть необходимая информация. Ожидается, что эту компенсацию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без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lang w:eastAsia="ru-RU"/>
        </w:rPr>
        <w:t>аявительном порядке будут получать около ста пятидесяти тысяч челов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ек. </w:t>
      </w:r>
    </w:p>
    <w:p w:rsidR="00E21C01" w:rsidRDefault="009900B7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>Также законодательством округа предусмотрена субсидия на оплату коммунальных услуг, в том числе и з</w:t>
      </w:r>
      <w:r>
        <w:rPr>
          <w:rFonts w:ascii="Times New Roman" w:eastAsia="Times New Roman" w:hAnsi="Times New Roman" w:cs="Times New Roman"/>
          <w:lang w:eastAsia="ru-RU"/>
        </w:rPr>
        <w:t xml:space="preserve">а обращение с ТКО, если расходы семьи на это составляют более 22% от совокупных доходов. Для этого нужно подать необходимые документы в Центр социальных выплат по месту жительства - </w:t>
      </w:r>
      <w:hyperlink r:id="rId5">
        <w:r>
          <w:rPr>
            <w:rStyle w:val="-"/>
            <w:rFonts w:ascii="Times New Roman" w:eastAsia="Times New Roman" w:hAnsi="Times New Roman" w:cs="Times New Roman"/>
            <w:lang w:eastAsia="ru-RU"/>
          </w:rPr>
          <w:t>http://csvhmao.ru</w:t>
        </w:r>
      </w:hyperlink>
      <w:r>
        <w:rPr>
          <w:rFonts w:ascii="Times New Roman" w:eastAsia="Times New Roman" w:hAnsi="Times New Roman" w:cs="Times New Roman"/>
          <w:lang w:eastAsia="ru-RU"/>
        </w:rPr>
        <w:t>, либо с помощью мн</w:t>
      </w:r>
      <w:r>
        <w:rPr>
          <w:rFonts w:ascii="Times New Roman" w:eastAsia="Times New Roman" w:hAnsi="Times New Roman" w:cs="Times New Roman"/>
          <w:lang w:eastAsia="ru-RU"/>
        </w:rPr>
        <w:t>огофу</w:t>
      </w:r>
      <w:r>
        <w:rPr>
          <w:rFonts w:ascii="Times" w:eastAsia="Times New Roman" w:hAnsi="Times" w:cs="Times New Roman"/>
          <w:lang w:eastAsia="ru-RU"/>
        </w:rPr>
        <w:t xml:space="preserve">нкционального центра предоставления государственных и муниципальных услуг (МФЦ) — </w:t>
      </w:r>
      <w:hyperlink r:id="rId6">
        <w:r>
          <w:rPr>
            <w:rStyle w:val="-"/>
            <w:rFonts w:ascii="Times" w:eastAsia="Times New Roman" w:hAnsi="Times" w:cs="Times New Roman"/>
            <w:lang w:eastAsia="ru-RU"/>
          </w:rPr>
          <w:t>http://mfc.admhmao.ru</w:t>
        </w:r>
      </w:hyperlink>
      <w:r>
        <w:rPr>
          <w:rFonts w:ascii="Times" w:eastAsia="Times New Roman" w:hAnsi="Times" w:cs="Times New Roman"/>
          <w:lang w:eastAsia="ru-RU"/>
        </w:rPr>
        <w:t xml:space="preserve">, или с </w:t>
      </w:r>
      <w:proofErr w:type="spellStart"/>
      <w:r>
        <w:rPr>
          <w:rFonts w:ascii="Times" w:eastAsia="Times New Roman" w:hAnsi="Times" w:cs="Times New Roman"/>
          <w:sz w:val="24"/>
          <w:lang w:eastAsia="ru-RU"/>
        </w:rPr>
        <w:t>с</w:t>
      </w:r>
      <w:proofErr w:type="spellEnd"/>
      <w:r>
        <w:rPr>
          <w:rFonts w:ascii="Times" w:eastAsia="Times New Roman" w:hAnsi="Times" w:cs="Times New Roman"/>
          <w:sz w:val="24"/>
          <w:lang w:eastAsia="ru-RU"/>
        </w:rPr>
        <w:t xml:space="preserve"> использованием </w:t>
      </w:r>
      <w:r>
        <w:rPr>
          <w:rFonts w:ascii="Times" w:eastAsia="Times New Roman" w:hAnsi="Times" w:cs="Times New Roman"/>
          <w:sz w:val="26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- </w:t>
      </w:r>
      <w:r>
        <w:rPr>
          <w:rFonts w:ascii="Times" w:eastAsia="Times New Roman" w:hAnsi="Times" w:cs="Times New Roman"/>
          <w:lang w:eastAsia="ru-RU"/>
        </w:rPr>
        <w:t xml:space="preserve">.   </w:t>
      </w:r>
      <w:hyperlink r:id="rId7">
        <w:r>
          <w:rPr>
            <w:rStyle w:val="-"/>
            <w:rFonts w:ascii="Times" w:eastAsia="Times New Roman" w:hAnsi="Times" w:cs="Times New Roman"/>
            <w:lang w:eastAsia="ru-RU"/>
          </w:rPr>
          <w:t>https://www.gosuslugi.ru</w:t>
        </w:r>
      </w:hyperlink>
      <w:r>
        <w:rPr>
          <w:rFonts w:ascii="Times" w:eastAsia="Times New Roman" w:hAnsi="Times" w:cs="Times New Roman"/>
          <w:lang w:eastAsia="ru-RU"/>
        </w:rPr>
        <w:t xml:space="preserve">. </w:t>
      </w:r>
    </w:p>
    <w:p w:rsidR="00E21C01" w:rsidRDefault="009900B7">
      <w:pPr>
        <w:jc w:val="both"/>
      </w:pPr>
      <w:r>
        <w:rPr>
          <w:rFonts w:ascii="Times" w:eastAsia="Times New Roman" w:hAnsi="Times" w:cs="Times New Roman"/>
          <w:lang w:eastAsia="ru-RU"/>
        </w:rPr>
        <w:tab/>
        <w:t>В рамках догов</w:t>
      </w:r>
      <w:r>
        <w:rPr>
          <w:rFonts w:ascii="Times New Roman" w:eastAsia="Times New Roman" w:hAnsi="Times New Roman" w:cs="Times New Roman"/>
          <w:lang w:eastAsia="ru-RU"/>
        </w:rPr>
        <w:t>оренностей региональный оператор «Югра-Экология»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предоставляет  Центру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социальных выплат Югры сведения о наличии или отсутствии задолженности по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оплате услуги по обращению с ТКО, так как должникам компенсация не выплачивается.</w:t>
      </w:r>
    </w:p>
    <w:p w:rsidR="00E21C01" w:rsidRDefault="009900B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21C01" w:rsidRDefault="00E21C0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21C01" w:rsidRDefault="009900B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21C01" w:rsidRDefault="00E21C01">
      <w:pPr>
        <w:jc w:val="both"/>
      </w:pPr>
    </w:p>
    <w:sectPr w:rsidR="00E21C0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47B0"/>
    <w:multiLevelType w:val="multilevel"/>
    <w:tmpl w:val="DD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BD1CE8"/>
    <w:multiLevelType w:val="multilevel"/>
    <w:tmpl w:val="2FA41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1D5827"/>
    <w:multiLevelType w:val="multilevel"/>
    <w:tmpl w:val="45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21C01"/>
    <w:rsid w:val="009900B7"/>
    <w:rsid w:val="00E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922E"/>
  <w15:docId w15:val="{034F70AF-66FE-4C9C-AD04-019979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F90BFE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b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F90B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90BFE"/>
    <w:pPr>
      <w:spacing w:after="140" w:line="276" w:lineRule="auto"/>
    </w:pPr>
  </w:style>
  <w:style w:type="paragraph" w:styleId="a5">
    <w:name w:val="List"/>
    <w:basedOn w:val="a4"/>
    <w:rsid w:val="00F90BFE"/>
  </w:style>
  <w:style w:type="paragraph" w:customStyle="1" w:styleId="10">
    <w:name w:val="Название объекта1"/>
    <w:basedOn w:val="a"/>
    <w:qFormat/>
    <w:rsid w:val="00F90BF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90BFE"/>
    <w:pPr>
      <w:suppressLineNumbers/>
    </w:pPr>
  </w:style>
  <w:style w:type="paragraph" w:customStyle="1" w:styleId="a7">
    <w:name w:val="Объект со стрелкой"/>
    <w:basedOn w:val="a"/>
    <w:qFormat/>
  </w:style>
  <w:style w:type="paragraph" w:customStyle="1" w:styleId="a8">
    <w:name w:val="Объект с тенью"/>
    <w:basedOn w:val="a"/>
    <w:qFormat/>
  </w:style>
  <w:style w:type="paragraph" w:customStyle="1" w:styleId="a9">
    <w:name w:val="Объект без заливки"/>
    <w:basedOn w:val="a"/>
    <w:qFormat/>
  </w:style>
  <w:style w:type="paragraph" w:customStyle="1" w:styleId="aa">
    <w:name w:val="Объект без заливки и линий"/>
    <w:basedOn w:val="a"/>
    <w:qFormat/>
  </w:style>
  <w:style w:type="paragraph" w:customStyle="1" w:styleId="ab">
    <w:name w:val="Выравнивание текста по ширине"/>
    <w:basedOn w:val="a"/>
    <w:qFormat/>
  </w:style>
  <w:style w:type="paragraph" w:customStyle="1" w:styleId="11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c">
    <w:name w:val="Размерная линия"/>
    <w:basedOn w:val="a"/>
    <w:qFormat/>
  </w:style>
  <w:style w:type="paragraph" w:customStyle="1" w:styleId="LTGliederung1">
    <w:name w:val="Заголовок и объект~LT~Gliederung 1"/>
    <w:qFormat/>
    <w:pPr>
      <w:spacing w:before="283" w:line="200" w:lineRule="atLeast"/>
    </w:pPr>
    <w:rPr>
      <w:rFonts w:ascii="Lohit Devanagari" w:eastAsia="DejaVu Sans" w:hAnsi="Lohit Devanagari" w:cs="Liberation Sans"/>
      <w:b/>
      <w:color w:val="000000"/>
      <w:sz w:val="32"/>
    </w:rPr>
  </w:style>
  <w:style w:type="paragraph" w:customStyle="1" w:styleId="LTGliederung2">
    <w:name w:val="Заголовок и объект~LT~Gliederung 2"/>
    <w:basedOn w:val="LTGliederung1"/>
    <w:qFormat/>
    <w:pPr>
      <w:spacing w:before="227"/>
    </w:pPr>
    <w:rPr>
      <w:b w:val="0"/>
    </w:rPr>
  </w:style>
  <w:style w:type="paragraph" w:customStyle="1" w:styleId="LTGliederung3">
    <w:name w:val="Заголовок и объект~LT~Gliederung 3"/>
    <w:basedOn w:val="LTGliederung2"/>
    <w:qFormat/>
    <w:pPr>
      <w:spacing w:before="170"/>
    </w:pPr>
  </w:style>
  <w:style w:type="paragraph" w:customStyle="1" w:styleId="LTGliederung4">
    <w:name w:val="Заголовок и объект~LT~Gliederung 4"/>
    <w:basedOn w:val="LTGliederung3"/>
    <w:qFormat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</w:style>
  <w:style w:type="paragraph" w:customStyle="1" w:styleId="LTGliederung7">
    <w:name w:val="Заголовок и объект~LT~Gliederung 7"/>
    <w:basedOn w:val="LTGliederung6"/>
    <w:qFormat/>
  </w:style>
  <w:style w:type="paragraph" w:customStyle="1" w:styleId="LTGliederung8">
    <w:name w:val="Заголовок и объект~LT~Gliederung 8"/>
    <w:basedOn w:val="LTGliederung7"/>
    <w:qFormat/>
  </w:style>
  <w:style w:type="paragraph" w:customStyle="1" w:styleId="LTGliederung9">
    <w:name w:val="Заголовок и объект~LT~Gliederung 9"/>
    <w:basedOn w:val="LTGliederung8"/>
    <w:qFormat/>
  </w:style>
  <w:style w:type="paragraph" w:customStyle="1" w:styleId="LTTitel">
    <w:name w:val="Заголовок и объект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">
    <w:name w:val="Заголовок и объект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">
    <w:name w:val="Заголовок и объект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">
    <w:name w:val="Заголовок и объект~LT~Hintergrundobjekte"/>
    <w:qFormat/>
    <w:rPr>
      <w:rFonts w:eastAsia="DejaVu Sans" w:cs="Liberation Sans"/>
      <w:sz w:val="24"/>
    </w:rPr>
  </w:style>
  <w:style w:type="paragraph" w:customStyle="1" w:styleId="LTHintergrund">
    <w:name w:val="Заголовок и объект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d">
    <w:name w:val="Объекты фона"/>
    <w:qFormat/>
    <w:rPr>
      <w:rFonts w:eastAsia="DejaVu Sans" w:cs="Liberation Sans"/>
      <w:sz w:val="24"/>
    </w:rPr>
  </w:style>
  <w:style w:type="paragraph" w:customStyle="1" w:styleId="ae">
    <w:name w:val="Фон"/>
    <w:qFormat/>
    <w:rPr>
      <w:rFonts w:eastAsia="DejaVu Sans" w:cs="Liberation Sans"/>
      <w:sz w:val="24"/>
    </w:rPr>
  </w:style>
  <w:style w:type="paragraph" w:customStyle="1" w:styleId="af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2">
    <w:name w:val="Структура 1"/>
    <w:qFormat/>
    <w:pPr>
      <w:spacing w:before="283" w:line="200" w:lineRule="atLeast"/>
    </w:pPr>
    <w:rPr>
      <w:rFonts w:ascii="Lohit Devanagari" w:eastAsia="DejaVu Sans" w:hAnsi="Lohit Devanagari" w:cs="Liberation Sans"/>
      <w:b/>
      <w:color w:val="000000"/>
      <w:sz w:val="32"/>
    </w:rPr>
  </w:style>
  <w:style w:type="paragraph" w:customStyle="1" w:styleId="20">
    <w:name w:val="Структура 2"/>
    <w:basedOn w:val="12"/>
    <w:qFormat/>
    <w:pPr>
      <w:spacing w:before="227"/>
    </w:pPr>
    <w:rPr>
      <w:b w:val="0"/>
    </w:rPr>
  </w:style>
  <w:style w:type="paragraph" w:customStyle="1" w:styleId="3">
    <w:name w:val="Структура 3"/>
    <w:basedOn w:val="20"/>
    <w:qFormat/>
    <w:pPr>
      <w:spacing w:before="170"/>
    </w:p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.admhmao.ru/" TargetMode="External"/><Relationship Id="rId5" Type="http://schemas.openxmlformats.org/officeDocument/2006/relationships/hyperlink" Target="http://csvhma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Гранкин В.В.</cp:lastModifiedBy>
  <cp:revision>13</cp:revision>
  <dcterms:created xsi:type="dcterms:W3CDTF">2018-11-14T08:49:00Z</dcterms:created>
  <dcterms:modified xsi:type="dcterms:W3CDTF">2018-12-20T10:44:00Z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